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31E1DBC4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DD1019">
        <w:rPr>
          <w:rFonts w:ascii="Times New Roman" w:hAnsi="Times New Roman"/>
          <w:color w:val="auto"/>
          <w:sz w:val="27"/>
          <w:szCs w:val="27"/>
        </w:rPr>
        <w:t>дека</w:t>
      </w:r>
      <w:r w:rsidR="001E0CAE">
        <w:rPr>
          <w:rFonts w:ascii="Times New Roman" w:hAnsi="Times New Roman"/>
          <w:color w:val="auto"/>
          <w:sz w:val="27"/>
          <w:szCs w:val="27"/>
        </w:rPr>
        <w:t>брь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1E0CAE">
        <w:rPr>
          <w:rFonts w:ascii="Times New Roman" w:hAnsi="Times New Roman"/>
          <w:color w:val="auto"/>
          <w:sz w:val="27"/>
          <w:szCs w:val="27"/>
        </w:rPr>
        <w:t>ф</w:t>
      </w:r>
      <w:r w:rsidR="00DD1019">
        <w:rPr>
          <w:rFonts w:ascii="Times New Roman" w:hAnsi="Times New Roman"/>
          <w:color w:val="auto"/>
          <w:sz w:val="27"/>
          <w:szCs w:val="27"/>
        </w:rPr>
        <w:t>орме «Астраханская_12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074D344F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1E0CAE">
        <w:rPr>
          <w:rFonts w:ascii="Times New Roman" w:hAnsi="Times New Roman"/>
          <w:color w:val="auto"/>
          <w:sz w:val="27"/>
          <w:szCs w:val="27"/>
        </w:rPr>
        <w:t>1</w:t>
      </w:r>
      <w:r w:rsidR="00DD1019">
        <w:rPr>
          <w:rFonts w:ascii="Times New Roman" w:hAnsi="Times New Roman"/>
          <w:color w:val="auto"/>
          <w:sz w:val="27"/>
          <w:szCs w:val="27"/>
        </w:rPr>
        <w:t>2</w:t>
      </w:r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0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21680F9B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1E0CAE">
        <w:rPr>
          <w:rFonts w:ascii="Times New Roman" w:hAnsi="Times New Roman"/>
          <w:b w:val="0"/>
          <w:bCs w:val="0"/>
          <w:color w:val="auto"/>
          <w:sz w:val="27"/>
          <w:szCs w:val="27"/>
        </w:rPr>
        <w:t>2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01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DD1019">
        <w:rPr>
          <w:rFonts w:ascii="Times New Roman" w:hAnsi="Times New Roman"/>
          <w:b w:val="0"/>
          <w:bCs w:val="0"/>
          <w:color w:val="auto"/>
          <w:sz w:val="27"/>
          <w:szCs w:val="27"/>
        </w:rPr>
        <w:t>4</w:t>
      </w:r>
      <w:bookmarkStart w:id="1" w:name="_GoBack"/>
      <w:bookmarkEnd w:id="1"/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24911B9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.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З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 w:rsidR="001E0CAE">
        <w:rPr>
          <w:rFonts w:ascii="Times New Roman" w:hAnsi="Times New Roman"/>
          <w:bCs/>
          <w:color w:val="auto"/>
          <w:sz w:val="27"/>
          <w:szCs w:val="27"/>
        </w:rPr>
        <w:t>Рамазано</w:t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>ва</w:t>
      </w:r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1E0CA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01B1"/>
    <w:rsid w:val="00CE538E"/>
    <w:rsid w:val="00D316D4"/>
    <w:rsid w:val="00DD08AB"/>
    <w:rsid w:val="00DD1019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102</cp:revision>
  <cp:lastPrinted>2023-12-26T12:15:00Z</cp:lastPrinted>
  <dcterms:created xsi:type="dcterms:W3CDTF">2019-11-11T06:04:00Z</dcterms:created>
  <dcterms:modified xsi:type="dcterms:W3CDTF">2023-12-26T12:26:00Z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